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bookmarkStart w:id="0" w:name="_GoBack"/>
      <w:bookmarkEnd w:id="0"/>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925A5F" w:rsidRPr="000550DB">
        <w:rPr>
          <w:rStyle w:val="Textoennegrita"/>
          <w:rFonts w:cs="Arial"/>
        </w:rPr>
        <w:t>No. 204 DE 2023 CÁMARA</w:t>
      </w:r>
      <w:r w:rsidR="00925A5F" w:rsidRPr="000550DB">
        <w:rPr>
          <w:b/>
          <w:bCs/>
        </w:rPr>
        <w:t xml:space="preserve"> “POR MEDIO DE LA CUAL SE ESTABLECEN MEDIDAS PARA DIGNIFICAR A LOS CUIDADORES DE PERSONAS CON DISCAPACIDAD,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344B4D" w:rsidRPr="000550DB">
        <w:rPr>
          <w:rFonts w:cs="Arial"/>
        </w:rPr>
        <w:t>2</w:t>
      </w:r>
      <w:r w:rsidR="00925A5F" w:rsidRPr="000550DB">
        <w:rPr>
          <w:rFonts w:cs="Arial"/>
        </w:rPr>
        <w:t>1</w:t>
      </w:r>
      <w:r w:rsidR="00344B4D" w:rsidRPr="000550DB">
        <w:rPr>
          <w:rFonts w:cs="Arial"/>
        </w:rPr>
        <w:t xml:space="preserve"> de febrero 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925A5F" w:rsidRPr="000550DB">
        <w:rPr>
          <w:rFonts w:cs="Arial"/>
        </w:rPr>
        <w:t>29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D410FE" w:rsidRPr="000550DB" w:rsidRDefault="00D410FE" w:rsidP="00D410FE">
      <w:pPr>
        <w:pStyle w:val="Sinespaciado"/>
        <w:spacing w:line="240" w:lineRule="atLeast"/>
      </w:pPr>
    </w:p>
    <w:p w:rsidR="000A3260" w:rsidRPr="000550DB" w:rsidRDefault="000A3260" w:rsidP="000A3260">
      <w:pPr>
        <w:pStyle w:val="Sinespaciado"/>
        <w:rPr>
          <w:rFonts w:cs="Arial"/>
        </w:rPr>
      </w:pPr>
      <w:r w:rsidRPr="000550DB">
        <w:rPr>
          <w:rFonts w:cs="Arial"/>
          <w:b/>
        </w:rPr>
        <w:t>Artículo 1. Objeto:</w:t>
      </w:r>
      <w:r w:rsidRPr="000550DB">
        <w:rPr>
          <w:rFonts w:cs="Arial"/>
        </w:rPr>
        <w:t xml:space="preserve"> La presente ley tiene como objeto dignificar el rol de los cuidador</w:t>
      </w:r>
      <w:r w:rsidR="00BF3B24" w:rsidRPr="000550DB">
        <w:rPr>
          <w:rFonts w:cs="Arial"/>
        </w:rPr>
        <w:t xml:space="preserve">es de personas con discapacidad de las diferentes categorías </w:t>
      </w:r>
      <w:r w:rsidR="006764F6" w:rsidRPr="000550DB">
        <w:rPr>
          <w:rFonts w:cs="Arial"/>
        </w:rPr>
        <w:t>establecidas en el manual técnico del registro y certificación de discapacidad contemplado en la Resolución o. 1239 del 29 de julio</w:t>
      </w:r>
      <w:r w:rsidR="00EB0BFA" w:rsidRPr="000550DB">
        <w:rPr>
          <w:rFonts w:cs="Arial"/>
        </w:rPr>
        <w:t xml:space="preserve"> de 2022 del Ministerio de Salud y Protección Social o la que la modifique</w:t>
      </w:r>
      <w:r w:rsidR="00CA526F" w:rsidRPr="000550DB">
        <w:rPr>
          <w:rFonts w:cs="Arial"/>
        </w:rPr>
        <w:t>,</w:t>
      </w:r>
      <w:r w:rsidR="00EB0BFA" w:rsidRPr="000550DB">
        <w:rPr>
          <w:rFonts w:cs="Arial"/>
        </w:rPr>
        <w:t xml:space="preserve"> para que accedan </w:t>
      </w:r>
      <w:r w:rsidRPr="000550DB">
        <w:rPr>
          <w:rFonts w:cs="Arial"/>
        </w:rPr>
        <w:t xml:space="preserve">a programas de emprendimiento, vivienda, al sistema de salud, a espacios de participación y de planificación de los entes territoriales, el uso de nuevas tecnologías y se dictan otras disposiciones.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Artículo 2</w:t>
      </w:r>
      <w:r w:rsidRPr="000550DB">
        <w:rPr>
          <w:rFonts w:cs="Arial"/>
        </w:rPr>
        <w:t xml:space="preserve">. </w:t>
      </w:r>
      <w:r w:rsidRPr="000550DB">
        <w:rPr>
          <w:rFonts w:cs="Arial"/>
          <w:b/>
          <w:bCs/>
        </w:rPr>
        <w:t xml:space="preserve">Programas y acceso laboral flexible. </w:t>
      </w:r>
      <w:r w:rsidRPr="000550DB">
        <w:rPr>
          <w:rFonts w:cs="Arial"/>
        </w:rPr>
        <w:t>El Servicio Nacional de Aprendizaje - SENA-, las instituciones de Educación para el Trabajo y el Desarrollo Humano y las Instituciones de Educación Superior u otras entidades públicas, de conformidad con la autonomía universitaria, podrán ofertar cursos de capacitación</w:t>
      </w:r>
      <w:r w:rsidR="005D5C32" w:rsidRPr="000550DB">
        <w:rPr>
          <w:rFonts w:cs="Arial"/>
        </w:rPr>
        <w:t xml:space="preserve"> en la modalidad presencial, virtual y/o a distancia</w:t>
      </w:r>
      <w:r w:rsidRPr="000550DB">
        <w:rPr>
          <w:rFonts w:cs="Arial"/>
        </w:rPr>
        <w:t xml:space="preserve"> para los cuidadores, </w:t>
      </w:r>
      <w:r w:rsidR="00FF55E9" w:rsidRPr="000550DB">
        <w:rPr>
          <w:rFonts w:cs="Arial"/>
        </w:rPr>
        <w:t xml:space="preserve">formación en conocimientos sanitarios y nociones de enfermería, </w:t>
      </w:r>
      <w:r w:rsidRPr="000550DB">
        <w:rPr>
          <w:rFonts w:cs="Arial"/>
        </w:rPr>
        <w:t xml:space="preserve">que les permitan elevar sus competencias laborales en las diferentes áreas de formación y el conocimiento, al igual que fortalezcan el desarrollo del teletrabajo remoto, trabajo en casa o semejantes. Se certificará a quienes cumplan a cabalidad con las exigencias de estos.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Artículo 3. Derecho a la vivienda de los cuidadores de personas con discapacidad</w:t>
      </w:r>
      <w:r w:rsidRPr="000550DB">
        <w:rPr>
          <w:rFonts w:cs="Arial"/>
        </w:rPr>
        <w:t xml:space="preserve">. El Ministerio de Vivienda, Ciudad y Territorio, o quien haga sus veces, implementará en un plazo máximo de 2 años, los ajustes a sus programas y políticas con el fin de asegurar los recursos y a establecer los mecanismos necesarios para que del total de los subsidios de vivienda que se asignen, como mínimo un 5% sean subsidios especiales para ajustes locativos a las viviendas y adquisición de vivienda nueva de los cuidadores de personas con discapacidad, registrados en la base de datos mencionada </w:t>
      </w:r>
      <w:r w:rsidR="0029185C" w:rsidRPr="000550DB">
        <w:rPr>
          <w:rFonts w:cs="Arial"/>
        </w:rPr>
        <w:t>en el artículo 6 de la Ley 2297 de 2023</w:t>
      </w:r>
      <w:r w:rsidR="006E0E4F" w:rsidRPr="000550DB">
        <w:rPr>
          <w:rFonts w:cs="Arial"/>
        </w:rPr>
        <w:t>.</w:t>
      </w:r>
      <w:r w:rsidRPr="000550DB">
        <w:rPr>
          <w:rFonts w:cs="Arial"/>
        </w:rPr>
        <w:t xml:space="preserve">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Parágrafo 1</w:t>
      </w:r>
      <w:r w:rsidRPr="000550DB">
        <w:rPr>
          <w:rFonts w:cs="Arial"/>
        </w:rPr>
        <w:t xml:space="preserve">. El cuidador deberá acreditar a la fecha de solicitar el beneficio del presente artículo y hasta cuando este sea entregado que la persona que cuida se encuentre registrado en su núcleo familiar y en la base de datos del Sisben y en el Registro de Localización y Caracterización de Personas con Discapacidad - RLCPD- o el registro que lo sustituya. </w:t>
      </w:r>
    </w:p>
    <w:p w:rsidR="007965C5" w:rsidRPr="000550DB" w:rsidRDefault="007965C5" w:rsidP="000A3260">
      <w:pPr>
        <w:pStyle w:val="Sinespaciado"/>
        <w:rPr>
          <w:rFonts w:cs="Arial"/>
          <w:b/>
        </w:rPr>
      </w:pPr>
    </w:p>
    <w:p w:rsidR="000A3260" w:rsidRPr="000550DB" w:rsidRDefault="000A3260" w:rsidP="000A3260">
      <w:pPr>
        <w:pStyle w:val="Sinespaciado"/>
        <w:rPr>
          <w:rFonts w:cs="Arial"/>
        </w:rPr>
      </w:pPr>
      <w:r w:rsidRPr="000550DB">
        <w:rPr>
          <w:rFonts w:cs="Arial"/>
          <w:b/>
        </w:rPr>
        <w:t>Parágrafo 2.</w:t>
      </w:r>
      <w:r w:rsidRPr="000550DB">
        <w:rPr>
          <w:rFonts w:cs="Arial"/>
        </w:rPr>
        <w:t xml:space="preserve"> Para </w:t>
      </w:r>
      <w:r w:rsidR="007965C5" w:rsidRPr="000550DB">
        <w:rPr>
          <w:rFonts w:cs="Arial"/>
        </w:rPr>
        <w:t xml:space="preserve">acceder a los </w:t>
      </w:r>
      <w:r w:rsidRPr="000550DB">
        <w:rPr>
          <w:rFonts w:cs="Arial"/>
        </w:rPr>
        <w:t>benefici</w:t>
      </w:r>
      <w:r w:rsidR="007965C5" w:rsidRPr="000550DB">
        <w:rPr>
          <w:rFonts w:cs="Arial"/>
        </w:rPr>
        <w:t xml:space="preserve">os contemplados en este artículo, el cuidador </w:t>
      </w:r>
      <w:r w:rsidRPr="000550DB">
        <w:rPr>
          <w:rFonts w:cs="Arial"/>
        </w:rPr>
        <w:t>debe</w:t>
      </w:r>
      <w:r w:rsidR="0051222F" w:rsidRPr="000550DB">
        <w:rPr>
          <w:rFonts w:cs="Arial"/>
        </w:rPr>
        <w:t>rá</w:t>
      </w:r>
      <w:r w:rsidRPr="000550DB">
        <w:rPr>
          <w:rFonts w:cs="Arial"/>
        </w:rPr>
        <w:t xml:space="preserve"> demostrar que no genera</w:t>
      </w:r>
      <w:r w:rsidR="0051222F" w:rsidRPr="000550DB">
        <w:rPr>
          <w:rFonts w:cs="Arial"/>
        </w:rPr>
        <w:t xml:space="preserve"> ingresos y que no cuenta</w:t>
      </w:r>
      <w:r w:rsidRPr="000550DB">
        <w:rPr>
          <w:rFonts w:cs="Arial"/>
        </w:rPr>
        <w:t xml:space="preserve"> con recursos económicos propios.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Parágrafo 3</w:t>
      </w:r>
      <w:r w:rsidRPr="000550DB">
        <w:rPr>
          <w:rFonts w:cs="Arial"/>
        </w:rPr>
        <w:t xml:space="preserve">. El beneficio del presente artículo solo se podrá recibir una vez.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lastRenderedPageBreak/>
        <w:t>Artículo 4. Programas de vivienda no prioritaria.</w:t>
      </w:r>
      <w:r w:rsidRPr="000550DB">
        <w:rPr>
          <w:rFonts w:cs="Arial"/>
        </w:rPr>
        <w:t xml:space="preserve"> El Ministerio de Vivienda, Ciudad y Territorio asegurará que los programas de vivienda no prioritaria establecerán al menos el 5% de unidades habitacionales destinadas a personas con discapacidad, facilitando la búsqueda de vivienda para los cuidadores registrados en la base de datos establecida en el artículo 3 de la presente ley.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 xml:space="preserve">Artículo 5. </w:t>
      </w:r>
      <w:r w:rsidR="00D26BD6" w:rsidRPr="000550DB">
        <w:rPr>
          <w:rFonts w:cs="Arial"/>
          <w:b/>
        </w:rPr>
        <w:t>Programa de actividad física para cuidadores de personas con discapacidad.</w:t>
      </w:r>
      <w:r w:rsidRPr="000550DB">
        <w:rPr>
          <w:rFonts w:cs="Arial"/>
        </w:rPr>
        <w:t xml:space="preserve"> El Gobierno Nacional, a través del Ministerio del Deporte, junto con las entidades territoriales en el marco de su autonomía, y con el propósito de elevar el potencial de los cuidadores, y como una apuesta por una vida saludable, desarrollarán un plan con enfoque diferencial para promover programas y actividades de naturaleza deportiva para que los cuidadores de las personas con discapacidad, puedan participar en los eventos deportivos con fines competitivos, o educativos, o terapéuticos y/o recreativos de esta población.</w:t>
      </w:r>
      <w:r w:rsidR="0067277A" w:rsidRPr="000550DB">
        <w:rPr>
          <w:rFonts w:cs="Arial"/>
        </w:rPr>
        <w:t xml:space="preserve"> Dichos programas deberán elaborarse teniendo en cuenta que los cuidadores podrían eventualmente asistir </w:t>
      </w:r>
      <w:r w:rsidR="001C7B84" w:rsidRPr="000550DB">
        <w:rPr>
          <w:rFonts w:cs="Arial"/>
        </w:rPr>
        <w:t>a las prácticas deportivas con las personas con discapacidad bajo su cuidado.</w:t>
      </w:r>
      <w:r w:rsidRPr="000550DB">
        <w:rPr>
          <w:rFonts w:cs="Arial"/>
        </w:rPr>
        <w:t xml:space="preserve">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 xml:space="preserve">Artículo </w:t>
      </w:r>
      <w:r w:rsidR="00B04CB2" w:rsidRPr="000550DB">
        <w:rPr>
          <w:rFonts w:cs="Arial"/>
          <w:b/>
        </w:rPr>
        <w:t>6</w:t>
      </w:r>
      <w:r w:rsidRPr="000550DB">
        <w:rPr>
          <w:rFonts w:cs="Arial"/>
          <w:b/>
        </w:rPr>
        <w:t>. Eliminación de cobro de cuotas moderadoras y copagos</w:t>
      </w:r>
      <w:r w:rsidRPr="000550DB">
        <w:rPr>
          <w:rFonts w:cs="Arial"/>
        </w:rPr>
        <w:t xml:space="preserve">. El Ministerio de Salud y Protección Social exceptuarán del cobro de cuotas moderadoras y copagos en las EPS a los cuidadores de personas con discapacidad que se encuentren inscritos en el registro de que trata el artículo 3 de la presente ley, en todos los tipos de discapacidad establecidas.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 xml:space="preserve">Artículo </w:t>
      </w:r>
      <w:r w:rsidR="00B04CB2" w:rsidRPr="000550DB">
        <w:rPr>
          <w:rFonts w:cs="Arial"/>
          <w:b/>
        </w:rPr>
        <w:t>7</w:t>
      </w:r>
      <w:r w:rsidRPr="000550DB">
        <w:rPr>
          <w:rFonts w:cs="Arial"/>
          <w:b/>
        </w:rPr>
        <w:t>. Apoyo psicosocial para los cuidadores de personas con discapacidad.</w:t>
      </w:r>
      <w:r w:rsidRPr="000550DB">
        <w:rPr>
          <w:rFonts w:cs="Arial"/>
        </w:rPr>
        <w:t xml:space="preserve"> El Ministerio de Salud y Protección Social incluirá en el Plan Decenal de Salud Pública, un programa de apoyo a la </w:t>
      </w:r>
      <w:r w:rsidR="00262C6D" w:rsidRPr="000550DB">
        <w:rPr>
          <w:rFonts w:cs="Arial"/>
        </w:rPr>
        <w:t>salud mental de los cuidadores.</w:t>
      </w:r>
    </w:p>
    <w:p w:rsidR="00262C6D" w:rsidRPr="000550DB" w:rsidRDefault="00262C6D" w:rsidP="000A3260">
      <w:pPr>
        <w:pStyle w:val="Sinespaciado"/>
        <w:rPr>
          <w:rFonts w:cs="Arial"/>
        </w:rPr>
      </w:pPr>
    </w:p>
    <w:p w:rsidR="00262C6D" w:rsidRPr="000550DB" w:rsidRDefault="00262C6D" w:rsidP="000A3260">
      <w:pPr>
        <w:pStyle w:val="Sinespaciado"/>
        <w:rPr>
          <w:rFonts w:cs="Arial"/>
        </w:rPr>
      </w:pPr>
      <w:r w:rsidRPr="000550DB">
        <w:rPr>
          <w:rFonts w:cs="Arial"/>
        </w:rPr>
        <w:t>Los cuidadores de personas con discapacidad</w:t>
      </w:r>
      <w:r w:rsidR="00D819C5" w:rsidRPr="000550DB">
        <w:rPr>
          <w:rFonts w:cs="Arial"/>
        </w:rPr>
        <w:t xml:space="preserve"> </w:t>
      </w:r>
      <w:r w:rsidRPr="000550DB">
        <w:rPr>
          <w:rFonts w:cs="Arial"/>
        </w:rPr>
        <w:t>t</w:t>
      </w:r>
      <w:r w:rsidR="00D819C5" w:rsidRPr="000550DB">
        <w:rPr>
          <w:rFonts w:cs="Arial"/>
        </w:rPr>
        <w:t xml:space="preserve">endrán prioridad en la asignación de citas de psicología </w:t>
      </w:r>
      <w:r w:rsidR="00937284" w:rsidRPr="000550DB">
        <w:rPr>
          <w:rFonts w:cs="Arial"/>
        </w:rPr>
        <w:t>y trabajo social en su centro de ate</w:t>
      </w:r>
      <w:r w:rsidR="0086388D" w:rsidRPr="000550DB">
        <w:rPr>
          <w:rFonts w:cs="Arial"/>
        </w:rPr>
        <w:t>nción en salud correspondiente.</w:t>
      </w:r>
    </w:p>
    <w:p w:rsidR="000A3260" w:rsidRPr="000550DB" w:rsidRDefault="000A3260" w:rsidP="000A3260">
      <w:pPr>
        <w:pStyle w:val="Sinespaciado"/>
        <w:rPr>
          <w:rFonts w:cs="Arial"/>
          <w:b/>
        </w:rPr>
      </w:pPr>
    </w:p>
    <w:p w:rsidR="000A3260" w:rsidRPr="000550DB" w:rsidRDefault="000A3260" w:rsidP="000A3260">
      <w:pPr>
        <w:pStyle w:val="Sinespaciado"/>
        <w:rPr>
          <w:rFonts w:cs="Arial"/>
        </w:rPr>
      </w:pPr>
      <w:r w:rsidRPr="000550DB">
        <w:rPr>
          <w:rFonts w:cs="Arial"/>
          <w:b/>
        </w:rPr>
        <w:t xml:space="preserve">Artículo </w:t>
      </w:r>
      <w:r w:rsidR="00B04CB2" w:rsidRPr="000550DB">
        <w:rPr>
          <w:rFonts w:cs="Arial"/>
          <w:b/>
        </w:rPr>
        <w:t>8</w:t>
      </w:r>
      <w:r w:rsidRPr="000550DB">
        <w:rPr>
          <w:rFonts w:cs="Arial"/>
          <w:b/>
        </w:rPr>
        <w:t>. Priorización del Homecare para personas con discapacidad y sus cuidadores</w:t>
      </w:r>
      <w:r w:rsidRPr="000550DB">
        <w:rPr>
          <w:rFonts w:cs="Arial"/>
        </w:rPr>
        <w:t xml:space="preserve">. El Ministerio de Salud y Protección Social priorizará a las personas con discapacidad y a sus cuidadores en la entrega de medicamentos, homecare y demás disposiciones </w:t>
      </w:r>
      <w:r w:rsidR="00E94949" w:rsidRPr="000550DB">
        <w:rPr>
          <w:rFonts w:cs="Arial"/>
        </w:rPr>
        <w:t>de los médicos tratantes.</w:t>
      </w:r>
      <w:r w:rsidRPr="000550DB">
        <w:rPr>
          <w:rFonts w:cs="Arial"/>
        </w:rPr>
        <w:t xml:space="preserve">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 xml:space="preserve">Artículo </w:t>
      </w:r>
      <w:r w:rsidR="00B04CB2" w:rsidRPr="000550DB">
        <w:rPr>
          <w:rFonts w:cs="Arial"/>
          <w:b/>
        </w:rPr>
        <w:t>9</w:t>
      </w:r>
      <w:r w:rsidRPr="000550DB">
        <w:rPr>
          <w:rFonts w:cs="Arial"/>
          <w:b/>
        </w:rPr>
        <w:t>. Espacios gratuitos de televisión pública</w:t>
      </w:r>
      <w:r w:rsidRPr="000550DB">
        <w:rPr>
          <w:rFonts w:cs="Arial"/>
        </w:rPr>
        <w:t xml:space="preserve">. El Gobierno Nacional, a través de la RTVC- Sistema de Medios Públicos, destinará espacios en los canales nacionales públicos que permitan divulgar temáticas relacionadas con la discapacidad. Espacios en los cuales participarán las personas con discapacidad y sus cuidadores. </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r w:rsidRPr="000550DB">
        <w:rPr>
          <w:rFonts w:cs="Arial"/>
          <w:b/>
        </w:rPr>
        <w:t>Artículo 1</w:t>
      </w:r>
      <w:r w:rsidR="00B04CB2" w:rsidRPr="000550DB">
        <w:rPr>
          <w:rFonts w:cs="Arial"/>
          <w:b/>
        </w:rPr>
        <w:t>0</w:t>
      </w:r>
      <w:r w:rsidRPr="000550DB">
        <w:rPr>
          <w:rFonts w:cs="Arial"/>
          <w:b/>
        </w:rPr>
        <w:t>. Vigencia y derogatorias.</w:t>
      </w:r>
      <w:r w:rsidRPr="000550DB">
        <w:rPr>
          <w:rFonts w:cs="Arial"/>
        </w:rPr>
        <w:t xml:space="preserve"> La presente Ley rige a partir de la fecha de su promulgación y deroga las disposiciones que le sean contrarias.</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p>
    <w:p w:rsidR="00C84AF4" w:rsidRDefault="00C84AF4" w:rsidP="000A3260">
      <w:pPr>
        <w:pStyle w:val="Sinespaciado"/>
        <w:rPr>
          <w:rFonts w:eastAsia="Arial" w:cs="Arial"/>
          <w:b/>
        </w:rPr>
      </w:pPr>
    </w:p>
    <w:p w:rsidR="00D02C3F" w:rsidRPr="000550DB" w:rsidRDefault="00D02C3F" w:rsidP="000A3260">
      <w:pPr>
        <w:pStyle w:val="Sinespaciado"/>
        <w:rPr>
          <w:rFonts w:eastAsia="Arial" w:cs="Arial"/>
          <w:b/>
        </w:rPr>
      </w:pPr>
    </w:p>
    <w:p w:rsidR="0060655B" w:rsidRPr="000550DB" w:rsidRDefault="0060655B" w:rsidP="000A3260">
      <w:pPr>
        <w:pStyle w:val="Sinespaciado"/>
        <w:rPr>
          <w:rFonts w:eastAsia="Arial" w:cs="Arial"/>
          <w:b/>
        </w:rPr>
      </w:pPr>
    </w:p>
    <w:p w:rsidR="000A3260" w:rsidRPr="000550DB" w:rsidRDefault="00C84AF4" w:rsidP="000A3260">
      <w:pPr>
        <w:pStyle w:val="Sinespaciado"/>
        <w:rPr>
          <w:rFonts w:eastAsia="Arial" w:cs="Arial"/>
          <w:b/>
        </w:rPr>
      </w:pPr>
      <w:r w:rsidRPr="000550DB">
        <w:rPr>
          <w:rFonts w:eastAsia="Arial" w:cs="Arial"/>
          <w:b/>
        </w:rPr>
        <w:t>Juan Felipe Corzo Álvarez</w:t>
      </w:r>
      <w:r w:rsidRPr="000550DB">
        <w:rPr>
          <w:rFonts w:eastAsia="Arial" w:cs="Arial"/>
          <w:b/>
        </w:rPr>
        <w:tab/>
      </w:r>
      <w:r w:rsidRPr="000550DB">
        <w:rPr>
          <w:rFonts w:eastAsia="Arial" w:cs="Arial"/>
          <w:b/>
        </w:rPr>
        <w:tab/>
      </w:r>
      <w:r w:rsidRPr="000550DB">
        <w:rPr>
          <w:rFonts w:eastAsia="Arial" w:cs="Arial"/>
          <w:b/>
        </w:rPr>
        <w:tab/>
      </w:r>
      <w:r w:rsidRPr="000550DB">
        <w:rPr>
          <w:rFonts w:eastAsia="Arial" w:cs="Arial"/>
          <w:b/>
        </w:rPr>
        <w:tab/>
      </w:r>
      <w:r w:rsidR="0060655B" w:rsidRPr="000550DB">
        <w:rPr>
          <w:rFonts w:eastAsia="Arial" w:cs="Arial"/>
          <w:b/>
        </w:rPr>
        <w:tab/>
      </w:r>
      <w:r w:rsidRPr="000550DB">
        <w:rPr>
          <w:rFonts w:eastAsia="Arial" w:cs="Arial"/>
          <w:b/>
        </w:rPr>
        <w:t>Héctor David Chaparro Chaparro</w:t>
      </w:r>
    </w:p>
    <w:p w:rsidR="000A3260" w:rsidRPr="000550DB" w:rsidRDefault="00C84AF4" w:rsidP="000A3260">
      <w:pPr>
        <w:pStyle w:val="Sinespaciado"/>
        <w:rPr>
          <w:rFonts w:cs="Arial"/>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Pr="000550DB">
        <w:rPr>
          <w:rFonts w:eastAsia="Arial" w:cs="Arial"/>
        </w:rPr>
        <w:tab/>
      </w:r>
      <w:r w:rsidRPr="000550DB">
        <w:rPr>
          <w:rFonts w:eastAsia="Arial" w:cs="Arial"/>
        </w:rPr>
        <w:tab/>
      </w:r>
      <w:r w:rsidRPr="000550DB">
        <w:rPr>
          <w:rFonts w:eastAsia="Arial" w:cs="Arial"/>
        </w:rPr>
        <w:tab/>
      </w:r>
      <w:r w:rsidRPr="000550DB">
        <w:rPr>
          <w:rFonts w:eastAsia="Arial" w:cs="Arial"/>
        </w:rPr>
        <w:tab/>
      </w:r>
      <w:r w:rsidR="0060655B" w:rsidRPr="000550DB">
        <w:rPr>
          <w:rFonts w:eastAsia="Arial" w:cs="Arial"/>
        </w:rPr>
        <w:tab/>
      </w:r>
      <w:r w:rsidRPr="000550DB">
        <w:rPr>
          <w:rFonts w:eastAsia="Arial" w:cs="Arial"/>
        </w:rPr>
        <w:t xml:space="preserve">Representante </w:t>
      </w:r>
      <w:r w:rsidR="00EA2C6C" w:rsidRPr="000550DB">
        <w:rPr>
          <w:rFonts w:eastAsia="Arial" w:cs="Arial"/>
        </w:rPr>
        <w:t xml:space="preserve">a la </w:t>
      </w:r>
      <w:r w:rsidRPr="000550DB">
        <w:rPr>
          <w:rFonts w:eastAsia="Arial" w:cs="Arial"/>
        </w:rPr>
        <w:t>Cámara</w:t>
      </w:r>
    </w:p>
    <w:p w:rsidR="000A3260" w:rsidRPr="000550DB" w:rsidRDefault="000A3260" w:rsidP="000A3260">
      <w:pPr>
        <w:pStyle w:val="Sinespaciado"/>
        <w:rPr>
          <w:rFonts w:cs="Arial"/>
        </w:rPr>
      </w:pPr>
    </w:p>
    <w:p w:rsidR="00C84AF4" w:rsidRDefault="00C84AF4" w:rsidP="000A3260">
      <w:pPr>
        <w:pStyle w:val="Sinespaciado"/>
        <w:rPr>
          <w:rFonts w:eastAsia="Arial" w:cs="Arial"/>
          <w:b/>
        </w:rPr>
      </w:pPr>
    </w:p>
    <w:p w:rsidR="00D02C3F" w:rsidRPr="000550DB" w:rsidRDefault="00D02C3F" w:rsidP="000A3260">
      <w:pPr>
        <w:pStyle w:val="Sinespaciado"/>
        <w:rPr>
          <w:rFonts w:eastAsia="Arial" w:cs="Arial"/>
          <w:b/>
        </w:rPr>
      </w:pPr>
    </w:p>
    <w:p w:rsidR="00C84AF4" w:rsidRPr="000550DB" w:rsidRDefault="00C84AF4" w:rsidP="000A3260">
      <w:pPr>
        <w:pStyle w:val="Sinespaciado"/>
        <w:rPr>
          <w:rFonts w:eastAsia="Arial" w:cs="Arial"/>
          <w:b/>
        </w:rPr>
      </w:pPr>
    </w:p>
    <w:p w:rsidR="009007DA" w:rsidRPr="000550DB" w:rsidRDefault="00C84AF4" w:rsidP="000A3260">
      <w:pPr>
        <w:pStyle w:val="Sinespaciado"/>
        <w:rPr>
          <w:rFonts w:eastAsia="Arial" w:cs="Arial"/>
          <w:b/>
        </w:rPr>
      </w:pPr>
      <w:r w:rsidRPr="000550DB">
        <w:rPr>
          <w:rFonts w:eastAsia="Arial" w:cs="Arial"/>
          <w:b/>
        </w:rPr>
        <w:t>Leider Alexandra Vásquez Ochoa</w:t>
      </w:r>
      <w:r w:rsidRPr="000550DB">
        <w:rPr>
          <w:rFonts w:eastAsia="Arial" w:cs="Arial"/>
          <w:b/>
        </w:rPr>
        <w:tab/>
      </w:r>
      <w:r w:rsidRPr="000550DB">
        <w:rPr>
          <w:rFonts w:eastAsia="Arial" w:cs="Arial"/>
          <w:b/>
        </w:rPr>
        <w:tab/>
      </w:r>
      <w:r w:rsidRPr="000550DB">
        <w:rPr>
          <w:rFonts w:eastAsia="Arial" w:cs="Arial"/>
          <w:b/>
        </w:rPr>
        <w:tab/>
      </w:r>
      <w:r w:rsidR="0060655B" w:rsidRPr="000550DB">
        <w:rPr>
          <w:rFonts w:eastAsia="Arial" w:cs="Arial"/>
          <w:b/>
        </w:rPr>
        <w:tab/>
      </w:r>
      <w:r w:rsidRPr="000550DB">
        <w:rPr>
          <w:rFonts w:eastAsia="Arial" w:cs="Arial"/>
          <w:b/>
        </w:rPr>
        <w:t>Betsy Judith Pérez Arango</w:t>
      </w:r>
    </w:p>
    <w:p w:rsidR="005A3B3B" w:rsidRPr="000550DB" w:rsidRDefault="00C84AF4" w:rsidP="000A3260">
      <w:pPr>
        <w:pStyle w:val="Sinespaciado"/>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Pr="000550DB">
        <w:rPr>
          <w:rFonts w:eastAsia="Arial" w:cs="Arial"/>
        </w:rPr>
        <w:tab/>
      </w:r>
      <w:r w:rsidRPr="000550DB">
        <w:rPr>
          <w:rFonts w:eastAsia="Arial" w:cs="Arial"/>
        </w:rPr>
        <w:tab/>
      </w:r>
      <w:r w:rsidRPr="000550DB">
        <w:rPr>
          <w:rFonts w:eastAsia="Arial" w:cs="Arial"/>
        </w:rPr>
        <w:tab/>
      </w:r>
      <w:r w:rsidRPr="000550DB">
        <w:rPr>
          <w:rFonts w:eastAsia="Arial" w:cs="Arial"/>
        </w:rPr>
        <w:tab/>
      </w:r>
      <w:r w:rsidR="0060655B" w:rsidRPr="000550DB">
        <w:rPr>
          <w:rFonts w:eastAsia="Arial" w:cs="Arial"/>
        </w:rPr>
        <w:tab/>
      </w: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p w:rsidR="005A3B3B" w:rsidRDefault="005A3B3B" w:rsidP="000A3260">
      <w:pPr>
        <w:pStyle w:val="Sinespaciado"/>
        <w:rPr>
          <w:rFonts w:eastAsia="Arial" w:cs="Arial"/>
        </w:rPr>
      </w:pPr>
    </w:p>
    <w:p w:rsidR="00D02C3F" w:rsidRPr="000550DB" w:rsidRDefault="00D02C3F" w:rsidP="000A3260">
      <w:pPr>
        <w:pStyle w:val="Sinespaciado"/>
        <w:rPr>
          <w:rFonts w:eastAsia="Arial" w:cs="Arial"/>
        </w:rPr>
      </w:pPr>
    </w:p>
    <w:p w:rsidR="005E79F9" w:rsidRPr="000550DB" w:rsidRDefault="005E79F9" w:rsidP="000A3260">
      <w:pPr>
        <w:pStyle w:val="Sinespaciado"/>
        <w:rPr>
          <w:rFonts w:eastAsia="Arial" w:cs="Arial"/>
          <w:b/>
        </w:rPr>
      </w:pPr>
    </w:p>
    <w:p w:rsidR="00D02C3F" w:rsidRDefault="00D02C3F" w:rsidP="000A3260">
      <w:pPr>
        <w:pStyle w:val="Sinespaciado"/>
        <w:rPr>
          <w:rFonts w:eastAsia="Arial" w:cs="Arial"/>
          <w:b/>
        </w:rPr>
      </w:pPr>
    </w:p>
    <w:p w:rsidR="00D02C3F" w:rsidRDefault="00D02C3F" w:rsidP="000A3260">
      <w:pPr>
        <w:pStyle w:val="Sinespaciado"/>
        <w:rPr>
          <w:rFonts w:eastAsia="Arial" w:cs="Arial"/>
          <w:b/>
        </w:rPr>
      </w:pPr>
    </w:p>
    <w:p w:rsidR="00D02C3F" w:rsidRDefault="00D02C3F" w:rsidP="000A3260">
      <w:pPr>
        <w:pStyle w:val="Sinespaciado"/>
        <w:rPr>
          <w:rFonts w:eastAsia="Arial" w:cs="Arial"/>
          <w:b/>
        </w:rPr>
      </w:pPr>
    </w:p>
    <w:p w:rsidR="009007DA" w:rsidRPr="000550DB" w:rsidRDefault="00C84AF4" w:rsidP="000A3260">
      <w:pPr>
        <w:pStyle w:val="Sinespaciado"/>
        <w:rPr>
          <w:rFonts w:eastAsia="Arial" w:cs="Arial"/>
          <w:b/>
        </w:rPr>
      </w:pPr>
      <w:r w:rsidRPr="000550DB">
        <w:rPr>
          <w:rFonts w:eastAsia="Arial" w:cs="Arial"/>
          <w:b/>
        </w:rPr>
        <w:t>Víctor Manuel Salcedo Guerrero</w:t>
      </w:r>
      <w:r w:rsidRPr="000550DB">
        <w:rPr>
          <w:rFonts w:eastAsia="Arial" w:cs="Arial"/>
          <w:b/>
        </w:rPr>
        <w:tab/>
      </w:r>
      <w:r w:rsidRPr="000550DB">
        <w:rPr>
          <w:rFonts w:eastAsia="Arial" w:cs="Arial"/>
          <w:b/>
        </w:rPr>
        <w:tab/>
      </w:r>
      <w:r w:rsidRPr="000550DB">
        <w:rPr>
          <w:rFonts w:eastAsia="Arial" w:cs="Arial"/>
          <w:b/>
        </w:rPr>
        <w:tab/>
      </w:r>
      <w:r w:rsidR="0060655B" w:rsidRPr="000550DB">
        <w:rPr>
          <w:rFonts w:eastAsia="Arial" w:cs="Arial"/>
          <w:b/>
        </w:rPr>
        <w:tab/>
      </w:r>
      <w:r w:rsidRPr="000550DB">
        <w:rPr>
          <w:rFonts w:eastAsia="Arial" w:cs="Arial"/>
          <w:b/>
        </w:rPr>
        <w:t>Karen Juliana López Salazar</w:t>
      </w:r>
    </w:p>
    <w:p w:rsidR="00C84AF4" w:rsidRPr="000550DB" w:rsidRDefault="00C84AF4" w:rsidP="000A3260">
      <w:pPr>
        <w:pStyle w:val="Sinespaciado"/>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Pr="000550DB">
        <w:rPr>
          <w:rFonts w:eastAsia="Arial" w:cs="Arial"/>
        </w:rPr>
        <w:tab/>
      </w:r>
      <w:r w:rsidRPr="000550DB">
        <w:rPr>
          <w:rFonts w:eastAsia="Arial" w:cs="Arial"/>
        </w:rPr>
        <w:tab/>
      </w:r>
      <w:r w:rsidRPr="000550DB">
        <w:rPr>
          <w:rFonts w:eastAsia="Arial" w:cs="Arial"/>
        </w:rPr>
        <w:tab/>
      </w:r>
      <w:r w:rsidRPr="000550DB">
        <w:rPr>
          <w:rFonts w:eastAsia="Arial" w:cs="Arial"/>
        </w:rPr>
        <w:tab/>
      </w:r>
      <w:r w:rsidR="0060655B" w:rsidRPr="000550DB">
        <w:rPr>
          <w:rFonts w:eastAsia="Arial" w:cs="Arial"/>
        </w:rPr>
        <w:tab/>
      </w:r>
      <w:r w:rsidRPr="000550DB">
        <w:rPr>
          <w:rFonts w:eastAsia="Arial" w:cs="Arial"/>
        </w:rPr>
        <w:t xml:space="preserve">Representante </w:t>
      </w:r>
      <w:r w:rsidR="00EA2C6C" w:rsidRPr="000550DB">
        <w:rPr>
          <w:rFonts w:eastAsia="Arial" w:cs="Arial"/>
        </w:rPr>
        <w:t xml:space="preserve">a la </w:t>
      </w:r>
      <w:r w:rsidRPr="000550DB">
        <w:rPr>
          <w:rFonts w:eastAsia="Arial" w:cs="Arial"/>
        </w:rPr>
        <w:t>Cámara</w:t>
      </w:r>
    </w:p>
    <w:p w:rsidR="00F4043F" w:rsidRPr="000550DB" w:rsidRDefault="00F4043F" w:rsidP="000A3260">
      <w:pPr>
        <w:pStyle w:val="Sinespaciado"/>
        <w:rPr>
          <w:rFonts w:eastAsia="Arial" w:cs="Arial"/>
          <w:b/>
        </w:rPr>
      </w:pPr>
    </w:p>
    <w:p w:rsidR="0060655B" w:rsidRDefault="0060655B" w:rsidP="000A3260">
      <w:pPr>
        <w:pStyle w:val="Sinespaciado"/>
        <w:rPr>
          <w:rFonts w:eastAsia="Arial" w:cs="Arial"/>
          <w:b/>
        </w:rPr>
      </w:pPr>
    </w:p>
    <w:p w:rsidR="00823861" w:rsidRPr="000550DB" w:rsidRDefault="00823861" w:rsidP="000A3260">
      <w:pPr>
        <w:pStyle w:val="Sinespaciado"/>
        <w:rPr>
          <w:rFonts w:eastAsia="Arial" w:cs="Arial"/>
          <w:b/>
        </w:rPr>
      </w:pPr>
    </w:p>
    <w:p w:rsidR="0060655B" w:rsidRPr="000550DB" w:rsidRDefault="0060655B" w:rsidP="000A3260">
      <w:pPr>
        <w:pStyle w:val="Sinespaciado"/>
        <w:rPr>
          <w:rFonts w:eastAsia="Arial" w:cs="Arial"/>
          <w:b/>
        </w:rPr>
      </w:pPr>
    </w:p>
    <w:p w:rsidR="000A3260" w:rsidRPr="000550DB" w:rsidRDefault="00C84AF4" w:rsidP="000A3260">
      <w:pPr>
        <w:pStyle w:val="Sinespaciado"/>
        <w:rPr>
          <w:rFonts w:eastAsia="Arial" w:cs="Arial"/>
        </w:rPr>
      </w:pPr>
      <w:r w:rsidRPr="000550DB">
        <w:rPr>
          <w:rFonts w:eastAsia="Arial" w:cs="Arial"/>
          <w:b/>
        </w:rPr>
        <w:t>Martha Lisbeth Alfonso Jurado</w:t>
      </w:r>
      <w:r w:rsidRPr="000550DB">
        <w:rPr>
          <w:rFonts w:eastAsia="Arial" w:cs="Arial"/>
          <w:b/>
        </w:rPr>
        <w:tab/>
      </w:r>
      <w:r w:rsidRPr="000550DB">
        <w:rPr>
          <w:rFonts w:eastAsia="Arial" w:cs="Arial"/>
          <w:b/>
        </w:rPr>
        <w:tab/>
      </w:r>
      <w:r w:rsidRPr="000550DB">
        <w:rPr>
          <w:rFonts w:eastAsia="Arial" w:cs="Arial"/>
          <w:b/>
        </w:rPr>
        <w:tab/>
      </w:r>
      <w:r w:rsidR="0060655B" w:rsidRPr="000550DB">
        <w:rPr>
          <w:rFonts w:eastAsia="Arial" w:cs="Arial"/>
          <w:b/>
        </w:rPr>
        <w:tab/>
      </w:r>
      <w:r w:rsidRPr="000550DB">
        <w:rPr>
          <w:rFonts w:eastAsia="Arial" w:cs="Arial"/>
          <w:b/>
        </w:rPr>
        <w:t>Germán José Gómez López</w:t>
      </w:r>
    </w:p>
    <w:p w:rsidR="000A3260" w:rsidRPr="000550DB" w:rsidRDefault="00C84AF4" w:rsidP="000A3260">
      <w:pPr>
        <w:pStyle w:val="Sinespaciado"/>
        <w:rPr>
          <w:rFonts w:eastAsia="Arial" w:cs="Arial"/>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Pr="000550DB">
        <w:rPr>
          <w:rFonts w:eastAsia="Arial" w:cs="Arial"/>
        </w:rPr>
        <w:tab/>
      </w:r>
      <w:r w:rsidRPr="000550DB">
        <w:rPr>
          <w:rFonts w:eastAsia="Arial" w:cs="Arial"/>
        </w:rPr>
        <w:tab/>
      </w:r>
      <w:r w:rsidRPr="000550DB">
        <w:rPr>
          <w:rFonts w:eastAsia="Arial" w:cs="Arial"/>
        </w:rPr>
        <w:tab/>
      </w:r>
      <w:r w:rsidRPr="000550DB">
        <w:rPr>
          <w:rFonts w:eastAsia="Arial" w:cs="Arial"/>
        </w:rPr>
        <w:tab/>
      </w:r>
      <w:r w:rsidR="0060655B" w:rsidRPr="000550DB">
        <w:rPr>
          <w:rFonts w:eastAsia="Arial" w:cs="Arial"/>
        </w:rPr>
        <w:tab/>
      </w: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p w:rsidR="00A9064B" w:rsidRPr="000550DB" w:rsidRDefault="00A9064B" w:rsidP="000A3260">
      <w:pPr>
        <w:pStyle w:val="Sinespaciado"/>
        <w:rPr>
          <w:rFonts w:eastAsia="Arial" w:cs="Arial"/>
        </w:rPr>
      </w:pPr>
    </w:p>
    <w:p w:rsidR="000550DB" w:rsidRDefault="000550DB" w:rsidP="00A9064B">
      <w:pPr>
        <w:pStyle w:val="Sinespaciado"/>
        <w:jc w:val="center"/>
        <w:rPr>
          <w:rFonts w:eastAsia="Arial" w:cs="Arial"/>
          <w:b/>
        </w:rPr>
      </w:pPr>
    </w:p>
    <w:p w:rsidR="00823861" w:rsidRDefault="00823861" w:rsidP="00A9064B">
      <w:pPr>
        <w:pStyle w:val="Sinespaciado"/>
        <w:jc w:val="center"/>
        <w:rPr>
          <w:rFonts w:eastAsia="Arial" w:cs="Arial"/>
          <w:b/>
        </w:rPr>
      </w:pPr>
    </w:p>
    <w:p w:rsidR="000550DB" w:rsidRDefault="000550DB" w:rsidP="00A9064B">
      <w:pPr>
        <w:pStyle w:val="Sinespaciado"/>
        <w:jc w:val="center"/>
        <w:rPr>
          <w:rFonts w:eastAsia="Arial" w:cs="Arial"/>
          <w:b/>
        </w:rPr>
      </w:pPr>
    </w:p>
    <w:p w:rsidR="00A9064B" w:rsidRDefault="00A9064B" w:rsidP="00A9064B">
      <w:pPr>
        <w:pStyle w:val="Sinespaciado"/>
        <w:jc w:val="center"/>
        <w:rPr>
          <w:rFonts w:eastAsia="Arial" w:cs="Arial"/>
          <w:b/>
        </w:rPr>
      </w:pPr>
      <w:r w:rsidRPr="000550DB">
        <w:rPr>
          <w:rFonts w:eastAsia="Arial" w:cs="Arial"/>
          <w:b/>
        </w:rPr>
        <w:t>Jorge Alexander Quevedo Herrera</w:t>
      </w:r>
    </w:p>
    <w:p w:rsidR="000550DB" w:rsidRPr="000550DB" w:rsidRDefault="000550DB" w:rsidP="000550DB">
      <w:pPr>
        <w:pStyle w:val="Sinespaciado"/>
        <w:rPr>
          <w:rFonts w:eastAsia="Arial" w:cs="Arial"/>
          <w:b/>
        </w:rPr>
      </w:pPr>
      <w:r>
        <w:rPr>
          <w:rFonts w:eastAsia="Arial" w:cs="Arial"/>
          <w:b/>
        </w:rPr>
        <w:t xml:space="preserve">                                                    </w:t>
      </w:r>
      <w:r w:rsidRPr="000550DB">
        <w:rPr>
          <w:rFonts w:eastAsia="Arial" w:cs="Arial"/>
        </w:rPr>
        <w:t>Representante a la Cámara</w:t>
      </w:r>
    </w:p>
    <w:sectPr w:rsidR="000550DB" w:rsidRPr="000550DB" w:rsidSect="00384A21">
      <w:headerReference w:type="default" r:id="rId9"/>
      <w:footerReference w:type="default" r:id="rId10"/>
      <w:type w:val="continuous"/>
      <w:pgSz w:w="12240" w:h="15840" w:code="1"/>
      <w:pgMar w:top="1418" w:right="1021" w:bottom="567" w:left="141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A9" w:rsidRDefault="006673A9">
      <w:pPr>
        <w:spacing w:after="0" w:line="240" w:lineRule="auto"/>
      </w:pPr>
      <w:r>
        <w:separator/>
      </w:r>
    </w:p>
  </w:endnote>
  <w:endnote w:type="continuationSeparator" w:id="0">
    <w:p w:rsidR="006673A9" w:rsidRDefault="0066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proyecto de ley 204 de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A9" w:rsidRDefault="006673A9">
      <w:pPr>
        <w:spacing w:after="0" w:line="240" w:lineRule="auto"/>
      </w:pPr>
      <w:r>
        <w:separator/>
      </w:r>
    </w:p>
  </w:footnote>
  <w:footnote w:type="continuationSeparator" w:id="0">
    <w:p w:rsidR="006673A9" w:rsidRDefault="0066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550DB"/>
    <w:rsid w:val="00060CE9"/>
    <w:rsid w:val="0007681D"/>
    <w:rsid w:val="000A3260"/>
    <w:rsid w:val="000D4049"/>
    <w:rsid w:val="000F3249"/>
    <w:rsid w:val="000F3F41"/>
    <w:rsid w:val="00102AC9"/>
    <w:rsid w:val="00106067"/>
    <w:rsid w:val="001303C3"/>
    <w:rsid w:val="001326DD"/>
    <w:rsid w:val="00134E23"/>
    <w:rsid w:val="00141A7E"/>
    <w:rsid w:val="00145732"/>
    <w:rsid w:val="001826C3"/>
    <w:rsid w:val="00193E1C"/>
    <w:rsid w:val="001B1C28"/>
    <w:rsid w:val="001C7B84"/>
    <w:rsid w:val="00245986"/>
    <w:rsid w:val="00262C6D"/>
    <w:rsid w:val="0029185C"/>
    <w:rsid w:val="002A1BAF"/>
    <w:rsid w:val="00330383"/>
    <w:rsid w:val="00332B24"/>
    <w:rsid w:val="00344B4D"/>
    <w:rsid w:val="00364C69"/>
    <w:rsid w:val="00375224"/>
    <w:rsid w:val="00384A21"/>
    <w:rsid w:val="003B3F8A"/>
    <w:rsid w:val="003C5D20"/>
    <w:rsid w:val="003D08DE"/>
    <w:rsid w:val="00481A0E"/>
    <w:rsid w:val="00484475"/>
    <w:rsid w:val="004B0124"/>
    <w:rsid w:val="004D631D"/>
    <w:rsid w:val="005004BD"/>
    <w:rsid w:val="0051222F"/>
    <w:rsid w:val="00523CF6"/>
    <w:rsid w:val="00533F5F"/>
    <w:rsid w:val="00545AF9"/>
    <w:rsid w:val="0057061D"/>
    <w:rsid w:val="005970FF"/>
    <w:rsid w:val="005A3B3B"/>
    <w:rsid w:val="005D5C32"/>
    <w:rsid w:val="005E79F9"/>
    <w:rsid w:val="006020FC"/>
    <w:rsid w:val="0060655B"/>
    <w:rsid w:val="0066551C"/>
    <w:rsid w:val="006673A9"/>
    <w:rsid w:val="0067277A"/>
    <w:rsid w:val="00672A44"/>
    <w:rsid w:val="006764F6"/>
    <w:rsid w:val="00676A02"/>
    <w:rsid w:val="006A6E00"/>
    <w:rsid w:val="006A6E52"/>
    <w:rsid w:val="006D531F"/>
    <w:rsid w:val="006E0E4F"/>
    <w:rsid w:val="006E594C"/>
    <w:rsid w:val="00703BB5"/>
    <w:rsid w:val="00751A35"/>
    <w:rsid w:val="00767847"/>
    <w:rsid w:val="00780935"/>
    <w:rsid w:val="0079288E"/>
    <w:rsid w:val="007965C5"/>
    <w:rsid w:val="007D2959"/>
    <w:rsid w:val="007D3C92"/>
    <w:rsid w:val="00823861"/>
    <w:rsid w:val="00825466"/>
    <w:rsid w:val="0086388D"/>
    <w:rsid w:val="008677F4"/>
    <w:rsid w:val="008C5481"/>
    <w:rsid w:val="008E2412"/>
    <w:rsid w:val="008E689B"/>
    <w:rsid w:val="009007DA"/>
    <w:rsid w:val="00900D93"/>
    <w:rsid w:val="00925A5F"/>
    <w:rsid w:val="00937284"/>
    <w:rsid w:val="00946C38"/>
    <w:rsid w:val="00975497"/>
    <w:rsid w:val="00980D46"/>
    <w:rsid w:val="00984A08"/>
    <w:rsid w:val="00990077"/>
    <w:rsid w:val="009A5477"/>
    <w:rsid w:val="009E1B8B"/>
    <w:rsid w:val="009E3F42"/>
    <w:rsid w:val="00A10DC4"/>
    <w:rsid w:val="00A260C7"/>
    <w:rsid w:val="00A27D65"/>
    <w:rsid w:val="00A9064B"/>
    <w:rsid w:val="00A92F29"/>
    <w:rsid w:val="00A97875"/>
    <w:rsid w:val="00AA5167"/>
    <w:rsid w:val="00AC09C4"/>
    <w:rsid w:val="00AE4C4F"/>
    <w:rsid w:val="00AF4493"/>
    <w:rsid w:val="00B04CB2"/>
    <w:rsid w:val="00B31264"/>
    <w:rsid w:val="00B4204B"/>
    <w:rsid w:val="00B47081"/>
    <w:rsid w:val="00B57363"/>
    <w:rsid w:val="00B975D8"/>
    <w:rsid w:val="00BA2504"/>
    <w:rsid w:val="00BA6354"/>
    <w:rsid w:val="00BF3B24"/>
    <w:rsid w:val="00BF5872"/>
    <w:rsid w:val="00BF5DE4"/>
    <w:rsid w:val="00C0783C"/>
    <w:rsid w:val="00C10A0F"/>
    <w:rsid w:val="00C24F1B"/>
    <w:rsid w:val="00C25E24"/>
    <w:rsid w:val="00C84AF4"/>
    <w:rsid w:val="00CA526F"/>
    <w:rsid w:val="00D02C3F"/>
    <w:rsid w:val="00D16302"/>
    <w:rsid w:val="00D26BD6"/>
    <w:rsid w:val="00D410FE"/>
    <w:rsid w:val="00D65C9D"/>
    <w:rsid w:val="00D819C5"/>
    <w:rsid w:val="00DC1FF5"/>
    <w:rsid w:val="00E02D4A"/>
    <w:rsid w:val="00E2082D"/>
    <w:rsid w:val="00E27292"/>
    <w:rsid w:val="00E94949"/>
    <w:rsid w:val="00EA2C6C"/>
    <w:rsid w:val="00EB0BFA"/>
    <w:rsid w:val="00EE498A"/>
    <w:rsid w:val="00EF5B1B"/>
    <w:rsid w:val="00F04E2C"/>
    <w:rsid w:val="00F25E2F"/>
    <w:rsid w:val="00F4043F"/>
    <w:rsid w:val="00F42CA9"/>
    <w:rsid w:val="00F50D3E"/>
    <w:rsid w:val="00F66F0B"/>
    <w:rsid w:val="00F67633"/>
    <w:rsid w:val="00F718B4"/>
    <w:rsid w:val="00FC1DEF"/>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07E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3920F7-A216-4F9B-9A72-3F5796D8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2024-02-21T17:59:00Z</dcterms:created>
  <dcterms:modified xsi:type="dcterms:W3CDTF">2024-02-21T20:52:00Z</dcterms:modified>
</cp:coreProperties>
</file>